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E8B" w:rsidRPr="00291EBC" w:rsidRDefault="00291EBC" w:rsidP="00671E8B">
      <w:pPr>
        <w:shd w:val="clear" w:color="auto" w:fill="FFFFFF"/>
        <w:spacing w:after="0" w:line="240" w:lineRule="auto"/>
        <w:ind w:left="360"/>
        <w:jc w:val="center"/>
        <w:rPr>
          <w:rFonts w:asciiTheme="minorHAnsi" w:eastAsia="Times New Roman" w:hAnsiTheme="minorHAnsi"/>
          <w:b/>
          <w:caps/>
          <w:color w:val="212121"/>
          <w:sz w:val="28"/>
          <w:szCs w:val="24"/>
          <w:u w:val="single"/>
          <w:lang w:eastAsia="el-GR"/>
        </w:rPr>
      </w:pPr>
      <w:r>
        <w:rPr>
          <w:rFonts w:asciiTheme="minorHAnsi" w:eastAsia="Times New Roman" w:hAnsiTheme="minorHAnsi"/>
          <w:b/>
          <w:caps/>
          <w:color w:val="212121"/>
          <w:sz w:val="28"/>
          <w:szCs w:val="24"/>
          <w:u w:val="single"/>
          <w:lang w:eastAsia="el-GR"/>
        </w:rPr>
        <w:t>ΠΙΝΑΚΑΣ 3</w:t>
      </w:r>
      <w:bookmarkStart w:id="0" w:name="_GoBack"/>
      <w:bookmarkEnd w:id="0"/>
    </w:p>
    <w:p w:rsidR="00671E8B" w:rsidRPr="00291EBC" w:rsidRDefault="00671E8B" w:rsidP="00671E8B">
      <w:pPr>
        <w:shd w:val="clear" w:color="auto" w:fill="FFFFFF"/>
        <w:spacing w:after="0" w:line="240" w:lineRule="auto"/>
        <w:ind w:left="360"/>
        <w:jc w:val="center"/>
        <w:rPr>
          <w:rFonts w:asciiTheme="minorHAnsi" w:eastAsia="Times New Roman" w:hAnsiTheme="minorHAnsi"/>
          <w:b/>
          <w:caps/>
          <w:color w:val="212121"/>
          <w:sz w:val="24"/>
          <w:szCs w:val="24"/>
          <w:lang w:eastAsia="el-GR"/>
        </w:rPr>
      </w:pPr>
    </w:p>
    <w:p w:rsidR="00DC5352" w:rsidRPr="00291EBC" w:rsidRDefault="00DC5352" w:rsidP="00DC5352">
      <w:pPr>
        <w:shd w:val="clear" w:color="auto" w:fill="FFFFFF"/>
        <w:spacing w:after="0" w:line="240" w:lineRule="auto"/>
        <w:ind w:left="360"/>
        <w:jc w:val="center"/>
        <w:rPr>
          <w:rFonts w:asciiTheme="minorHAnsi" w:eastAsia="Times New Roman" w:hAnsiTheme="minorHAnsi"/>
          <w:b/>
          <w:caps/>
          <w:color w:val="212121"/>
          <w:sz w:val="24"/>
          <w:szCs w:val="24"/>
          <w:lang w:eastAsia="el-GR"/>
        </w:rPr>
      </w:pPr>
      <w:r w:rsidRPr="00291EBC">
        <w:rPr>
          <w:rFonts w:asciiTheme="minorHAnsi" w:eastAsia="Times New Roman" w:hAnsiTheme="minorHAnsi"/>
          <w:b/>
          <w:caps/>
          <w:color w:val="212121"/>
          <w:sz w:val="24"/>
          <w:szCs w:val="24"/>
          <w:lang w:eastAsia="el-GR"/>
        </w:rPr>
        <w:t>Πραγματικά παραδείγματα παλαιών συντάξεων ΤΕΒΕ μετά τον επανυπολογισμό τους σύμφωνα με τις διατάξεις του ν. 4387/16</w:t>
      </w:r>
    </w:p>
    <w:p w:rsidR="00411781" w:rsidRDefault="00411781" w:rsidP="00DC5352">
      <w:pPr>
        <w:shd w:val="clear" w:color="auto" w:fill="FFFFFF"/>
        <w:spacing w:after="0" w:line="240" w:lineRule="auto"/>
        <w:ind w:left="360"/>
        <w:jc w:val="center"/>
        <w:rPr>
          <w:rFonts w:ascii="Times New Roman" w:eastAsia="Times New Roman" w:hAnsi="Times New Roman"/>
          <w:b/>
          <w:caps/>
          <w:color w:val="212121"/>
          <w:sz w:val="24"/>
          <w:szCs w:val="24"/>
          <w:lang w:eastAsia="el-GR"/>
        </w:rPr>
      </w:pPr>
    </w:p>
    <w:tbl>
      <w:tblPr>
        <w:tblStyle w:val="a3"/>
        <w:tblW w:w="0" w:type="auto"/>
        <w:tblLook w:val="04A0" w:firstRow="1" w:lastRow="0" w:firstColumn="1" w:lastColumn="0" w:noHBand="0" w:noVBand="1"/>
      </w:tblPr>
      <w:tblGrid>
        <w:gridCol w:w="1597"/>
        <w:gridCol w:w="1633"/>
        <w:gridCol w:w="2223"/>
        <w:gridCol w:w="1612"/>
        <w:gridCol w:w="1527"/>
        <w:gridCol w:w="1497"/>
        <w:gridCol w:w="1972"/>
        <w:gridCol w:w="1972"/>
        <w:gridCol w:w="1661"/>
      </w:tblGrid>
      <w:tr w:rsidR="00D730BB" w:rsidRPr="000902DC" w:rsidTr="00D730BB">
        <w:tc>
          <w:tcPr>
            <w:tcW w:w="1768" w:type="dxa"/>
            <w:vAlign w:val="center"/>
          </w:tcPr>
          <w:p w:rsidR="00D730BB" w:rsidRDefault="00D730BB" w:rsidP="00D730BB">
            <w:pPr>
              <w:jc w:val="center"/>
            </w:pPr>
            <w:r>
              <w:t>ΧΡΟΝΟΣ</w:t>
            </w:r>
          </w:p>
          <w:p w:rsidR="00D730BB" w:rsidRDefault="00D730BB" w:rsidP="00D730BB">
            <w:pPr>
              <w:jc w:val="center"/>
            </w:pPr>
            <w:r>
              <w:t>ΑΣΦΑΛΙΣΗΣ</w:t>
            </w:r>
          </w:p>
        </w:tc>
        <w:tc>
          <w:tcPr>
            <w:tcW w:w="1769" w:type="dxa"/>
            <w:vAlign w:val="center"/>
          </w:tcPr>
          <w:p w:rsidR="00D730BB" w:rsidRDefault="00D730BB" w:rsidP="00D730BB">
            <w:pPr>
              <w:jc w:val="center"/>
            </w:pPr>
            <w:r>
              <w:t>ΣΗΜΕΡΙΝΟ</w:t>
            </w:r>
          </w:p>
          <w:p w:rsidR="00D730BB" w:rsidRDefault="00D730BB" w:rsidP="00D730BB">
            <w:pPr>
              <w:jc w:val="center"/>
            </w:pPr>
            <w:r>
              <w:t>ΠΟΣΟ</w:t>
            </w:r>
          </w:p>
          <w:p w:rsidR="00D730BB" w:rsidRDefault="00D730BB" w:rsidP="00D730BB">
            <w:pPr>
              <w:jc w:val="center"/>
            </w:pPr>
            <w:r>
              <w:t>ΣΥΝΤΑΞΗΣ</w:t>
            </w:r>
          </w:p>
          <w:p w:rsidR="00D730BB" w:rsidRDefault="00D730BB" w:rsidP="00D730BB">
            <w:pPr>
              <w:jc w:val="center"/>
            </w:pPr>
            <w:r>
              <w:t>(ΜΙΚΤΟ)</w:t>
            </w:r>
          </w:p>
        </w:tc>
        <w:tc>
          <w:tcPr>
            <w:tcW w:w="1769" w:type="dxa"/>
            <w:vAlign w:val="center"/>
          </w:tcPr>
          <w:p w:rsidR="00D730BB" w:rsidRDefault="00D730BB" w:rsidP="00D730BB">
            <w:pPr>
              <w:jc w:val="center"/>
            </w:pPr>
            <w:r>
              <w:t xml:space="preserve">ΝΕΟ </w:t>
            </w:r>
          </w:p>
          <w:p w:rsidR="00D730BB" w:rsidRDefault="00D730BB" w:rsidP="00D730BB">
            <w:pPr>
              <w:jc w:val="center"/>
            </w:pPr>
            <w:r>
              <w:t>ΕΠΑΝΥΠΟΛΟΓΙΣΜΕΝΟ</w:t>
            </w:r>
          </w:p>
          <w:p w:rsidR="00D730BB" w:rsidRDefault="00D730BB" w:rsidP="00D730BB">
            <w:pPr>
              <w:jc w:val="center"/>
            </w:pPr>
            <w:r>
              <w:t>ΠΟΣΟ ΣΥΝΤΑΞΗΣ</w:t>
            </w:r>
          </w:p>
          <w:p w:rsidR="00D730BB" w:rsidRDefault="00D730BB" w:rsidP="00D730BB">
            <w:pPr>
              <w:jc w:val="center"/>
            </w:pPr>
            <w:r>
              <w:t>(ΜΙΚΤΟ)</w:t>
            </w:r>
          </w:p>
        </w:tc>
        <w:tc>
          <w:tcPr>
            <w:tcW w:w="1769" w:type="dxa"/>
            <w:vAlign w:val="center"/>
          </w:tcPr>
          <w:p w:rsidR="00D730BB" w:rsidRDefault="00D730BB" w:rsidP="00D730BB">
            <w:pPr>
              <w:jc w:val="center"/>
            </w:pPr>
            <w:r>
              <w:t>ΠΡΟΣΩΠΙΚΗ ΔΙΑΦΟΡΑ</w:t>
            </w:r>
          </w:p>
        </w:tc>
        <w:tc>
          <w:tcPr>
            <w:tcW w:w="1769" w:type="dxa"/>
            <w:vAlign w:val="center"/>
          </w:tcPr>
          <w:p w:rsidR="00D730BB" w:rsidRDefault="00D730BB" w:rsidP="00D730BB">
            <w:pPr>
              <w:jc w:val="center"/>
            </w:pPr>
            <w:r>
              <w:t>ΠΟΣΟ</w:t>
            </w:r>
          </w:p>
          <w:p w:rsidR="00D730BB" w:rsidRDefault="00D730BB" w:rsidP="00D730BB">
            <w:pPr>
              <w:jc w:val="center"/>
            </w:pPr>
            <w:r>
              <w:t>ΜΕΙΩΣΗΣ</w:t>
            </w:r>
          </w:p>
          <w:p w:rsidR="00D730BB" w:rsidRDefault="00D730BB" w:rsidP="00D730BB">
            <w:pPr>
              <w:jc w:val="center"/>
            </w:pPr>
            <w:r>
              <w:t>(18%)</w:t>
            </w:r>
          </w:p>
        </w:tc>
        <w:tc>
          <w:tcPr>
            <w:tcW w:w="1769" w:type="dxa"/>
            <w:vAlign w:val="center"/>
          </w:tcPr>
          <w:p w:rsidR="00D730BB" w:rsidRDefault="00D730BB" w:rsidP="00D730BB">
            <w:pPr>
              <w:jc w:val="center"/>
            </w:pPr>
            <w:r>
              <w:t>ΤΕΛΙΚΟ</w:t>
            </w:r>
          </w:p>
          <w:p w:rsidR="00D730BB" w:rsidRDefault="00D730BB" w:rsidP="00D730BB">
            <w:pPr>
              <w:jc w:val="center"/>
            </w:pPr>
            <w:r>
              <w:t>ΠΟΣΟ</w:t>
            </w:r>
          </w:p>
          <w:p w:rsidR="00D730BB" w:rsidRDefault="00D730BB" w:rsidP="00D730BB">
            <w:pPr>
              <w:jc w:val="center"/>
            </w:pPr>
            <w:r>
              <w:t>(ΜΙΚΤΟ)</w:t>
            </w:r>
          </w:p>
        </w:tc>
        <w:tc>
          <w:tcPr>
            <w:tcW w:w="1769" w:type="dxa"/>
            <w:vAlign w:val="center"/>
          </w:tcPr>
          <w:p w:rsidR="00D730BB" w:rsidRPr="000902DC" w:rsidRDefault="00D730BB" w:rsidP="00D730BB">
            <w:pPr>
              <w:jc w:val="center"/>
              <w:rPr>
                <w:b/>
              </w:rPr>
            </w:pPr>
            <w:r w:rsidRPr="000902DC">
              <w:rPr>
                <w:b/>
              </w:rPr>
              <w:t>ΣΗΜΕΡΙΝΟ</w:t>
            </w:r>
          </w:p>
          <w:p w:rsidR="00D730BB" w:rsidRPr="000902DC" w:rsidRDefault="00D730BB" w:rsidP="00D730BB">
            <w:pPr>
              <w:jc w:val="center"/>
              <w:rPr>
                <w:b/>
              </w:rPr>
            </w:pPr>
            <w:r w:rsidRPr="000902DC">
              <w:rPr>
                <w:b/>
              </w:rPr>
              <w:t>ΚΑΤΑΒΑΛΛΟΜΕΝΟ</w:t>
            </w:r>
          </w:p>
          <w:p w:rsidR="00D730BB" w:rsidRPr="000902DC" w:rsidRDefault="00D730BB" w:rsidP="00D730BB">
            <w:pPr>
              <w:jc w:val="center"/>
              <w:rPr>
                <w:b/>
              </w:rPr>
            </w:pPr>
            <w:r w:rsidRPr="000902DC">
              <w:rPr>
                <w:b/>
              </w:rPr>
              <w:t>(ΚΑΘΑΡΟ)</w:t>
            </w:r>
          </w:p>
          <w:p w:rsidR="00D730BB" w:rsidRPr="000902DC" w:rsidRDefault="00D730BB" w:rsidP="00D730BB">
            <w:pPr>
              <w:jc w:val="center"/>
              <w:rPr>
                <w:b/>
              </w:rPr>
            </w:pPr>
            <w:r w:rsidRPr="000902DC">
              <w:rPr>
                <w:b/>
              </w:rPr>
              <w:t>ΠΟΣΟ</w:t>
            </w:r>
          </w:p>
        </w:tc>
        <w:tc>
          <w:tcPr>
            <w:tcW w:w="1769" w:type="dxa"/>
            <w:vAlign w:val="center"/>
          </w:tcPr>
          <w:p w:rsidR="00D730BB" w:rsidRPr="000902DC" w:rsidRDefault="00D730BB" w:rsidP="00D730BB">
            <w:pPr>
              <w:jc w:val="center"/>
              <w:rPr>
                <w:b/>
              </w:rPr>
            </w:pPr>
            <w:r w:rsidRPr="000902DC">
              <w:rPr>
                <w:b/>
              </w:rPr>
              <w:t xml:space="preserve">ΝΕΟ </w:t>
            </w:r>
          </w:p>
          <w:p w:rsidR="00D730BB" w:rsidRPr="000902DC" w:rsidRDefault="00D730BB" w:rsidP="00D730BB">
            <w:pPr>
              <w:jc w:val="center"/>
              <w:rPr>
                <w:b/>
              </w:rPr>
            </w:pPr>
            <w:r w:rsidRPr="000902DC">
              <w:rPr>
                <w:b/>
              </w:rPr>
              <w:t>ΚΑΤΑΒΑΛΛΟΜΕΝΟ</w:t>
            </w:r>
          </w:p>
          <w:p w:rsidR="00D730BB" w:rsidRPr="000902DC" w:rsidRDefault="00D730BB" w:rsidP="00D730BB">
            <w:pPr>
              <w:jc w:val="center"/>
              <w:rPr>
                <w:b/>
              </w:rPr>
            </w:pPr>
            <w:r w:rsidRPr="000902DC">
              <w:rPr>
                <w:b/>
              </w:rPr>
              <w:t>(ΚΑΘΑΡΟ)</w:t>
            </w:r>
          </w:p>
          <w:p w:rsidR="00D730BB" w:rsidRPr="000902DC" w:rsidRDefault="00D730BB" w:rsidP="00D730BB">
            <w:pPr>
              <w:jc w:val="center"/>
              <w:rPr>
                <w:b/>
              </w:rPr>
            </w:pPr>
            <w:r w:rsidRPr="000902DC">
              <w:rPr>
                <w:b/>
              </w:rPr>
              <w:t>ΠΟΣΟ</w:t>
            </w:r>
          </w:p>
          <w:p w:rsidR="00D730BB" w:rsidRPr="000902DC" w:rsidRDefault="00D730BB" w:rsidP="00D730BB">
            <w:pPr>
              <w:jc w:val="center"/>
              <w:rPr>
                <w:b/>
              </w:rPr>
            </w:pPr>
            <w:r w:rsidRPr="000902DC">
              <w:rPr>
                <w:b/>
              </w:rPr>
              <w:t>ΑΠΟ 01/01/2019</w:t>
            </w:r>
          </w:p>
        </w:tc>
        <w:tc>
          <w:tcPr>
            <w:tcW w:w="1769" w:type="dxa"/>
            <w:vAlign w:val="center"/>
          </w:tcPr>
          <w:p w:rsidR="00D730BB" w:rsidRPr="000902DC" w:rsidRDefault="00D730BB" w:rsidP="00D730BB">
            <w:pPr>
              <w:jc w:val="center"/>
              <w:rPr>
                <w:b/>
              </w:rPr>
            </w:pPr>
            <w:r w:rsidRPr="000902DC">
              <w:rPr>
                <w:b/>
              </w:rPr>
              <w:t>ΠΡΑΓΜΑΤΙΚΗ</w:t>
            </w:r>
          </w:p>
          <w:p w:rsidR="00D730BB" w:rsidRPr="000902DC" w:rsidRDefault="00D730BB" w:rsidP="00D730BB">
            <w:pPr>
              <w:jc w:val="center"/>
              <w:rPr>
                <w:b/>
              </w:rPr>
            </w:pPr>
            <w:r w:rsidRPr="000902DC">
              <w:rPr>
                <w:b/>
              </w:rPr>
              <w:t>ΜΕΙΩΣΗ</w:t>
            </w:r>
          </w:p>
        </w:tc>
      </w:tr>
      <w:tr w:rsidR="00D730BB" w:rsidRPr="000902DC" w:rsidTr="00D730BB">
        <w:tc>
          <w:tcPr>
            <w:tcW w:w="1768" w:type="dxa"/>
            <w:vAlign w:val="center"/>
          </w:tcPr>
          <w:p w:rsidR="00D730BB" w:rsidRDefault="00411781" w:rsidP="00D730BB">
            <w:pPr>
              <w:jc w:val="center"/>
            </w:pPr>
            <w:r>
              <w:t>24 ΕΤΗ</w:t>
            </w:r>
          </w:p>
          <w:p w:rsidR="00411781" w:rsidRDefault="00411781" w:rsidP="00D730BB">
            <w:pPr>
              <w:jc w:val="center"/>
            </w:pPr>
            <w:r>
              <w:t>&amp;</w:t>
            </w:r>
          </w:p>
          <w:p w:rsidR="00411781" w:rsidRDefault="00114DF8" w:rsidP="00D730BB">
            <w:pPr>
              <w:jc w:val="center"/>
            </w:pPr>
            <w:r>
              <w:t>10</w:t>
            </w:r>
            <w:r w:rsidR="00411781">
              <w:t xml:space="preserve"> ΜΗΝΕΣ</w:t>
            </w:r>
          </w:p>
        </w:tc>
        <w:tc>
          <w:tcPr>
            <w:tcW w:w="1769" w:type="dxa"/>
            <w:vAlign w:val="center"/>
          </w:tcPr>
          <w:p w:rsidR="00D730BB" w:rsidRDefault="001D09F7" w:rsidP="00D730BB">
            <w:pPr>
              <w:jc w:val="center"/>
            </w:pPr>
            <w:r>
              <w:t xml:space="preserve">552,37 </w:t>
            </w:r>
          </w:p>
        </w:tc>
        <w:tc>
          <w:tcPr>
            <w:tcW w:w="1769" w:type="dxa"/>
            <w:vAlign w:val="center"/>
          </w:tcPr>
          <w:p w:rsidR="00D730BB" w:rsidRDefault="001D09F7" w:rsidP="00D730BB">
            <w:pPr>
              <w:jc w:val="center"/>
            </w:pPr>
            <w:r>
              <w:t>475,38</w:t>
            </w:r>
          </w:p>
        </w:tc>
        <w:tc>
          <w:tcPr>
            <w:tcW w:w="1769" w:type="dxa"/>
            <w:vAlign w:val="center"/>
          </w:tcPr>
          <w:p w:rsidR="00D730BB" w:rsidRDefault="003A3E31" w:rsidP="00D730BB">
            <w:pPr>
              <w:jc w:val="center"/>
            </w:pPr>
            <w:r>
              <w:t>76,99</w:t>
            </w:r>
          </w:p>
        </w:tc>
        <w:tc>
          <w:tcPr>
            <w:tcW w:w="1769" w:type="dxa"/>
            <w:vAlign w:val="center"/>
          </w:tcPr>
          <w:p w:rsidR="00D730BB" w:rsidRDefault="003A3E31" w:rsidP="00D730BB">
            <w:pPr>
              <w:jc w:val="center"/>
            </w:pPr>
            <w:r>
              <w:t>76,99</w:t>
            </w:r>
          </w:p>
        </w:tc>
        <w:tc>
          <w:tcPr>
            <w:tcW w:w="1769" w:type="dxa"/>
            <w:vAlign w:val="center"/>
          </w:tcPr>
          <w:p w:rsidR="00D730BB" w:rsidRDefault="003A3E31" w:rsidP="00D730BB">
            <w:pPr>
              <w:jc w:val="center"/>
            </w:pPr>
            <w:r>
              <w:t>475,38</w:t>
            </w:r>
          </w:p>
        </w:tc>
        <w:tc>
          <w:tcPr>
            <w:tcW w:w="1769" w:type="dxa"/>
            <w:vAlign w:val="center"/>
          </w:tcPr>
          <w:p w:rsidR="00D730BB" w:rsidRPr="000902DC" w:rsidRDefault="003A3E31" w:rsidP="00D730BB">
            <w:pPr>
              <w:jc w:val="center"/>
              <w:rPr>
                <w:b/>
              </w:rPr>
            </w:pPr>
            <w:r w:rsidRPr="000902DC">
              <w:rPr>
                <w:b/>
              </w:rPr>
              <w:t>519,23</w:t>
            </w:r>
          </w:p>
        </w:tc>
        <w:tc>
          <w:tcPr>
            <w:tcW w:w="1769" w:type="dxa"/>
            <w:vAlign w:val="center"/>
          </w:tcPr>
          <w:p w:rsidR="00D730BB" w:rsidRPr="000902DC" w:rsidRDefault="000902DC" w:rsidP="00D730BB">
            <w:pPr>
              <w:jc w:val="center"/>
              <w:rPr>
                <w:b/>
              </w:rPr>
            </w:pPr>
            <w:r>
              <w:rPr>
                <w:b/>
              </w:rPr>
              <w:t>446,86</w:t>
            </w:r>
          </w:p>
        </w:tc>
        <w:tc>
          <w:tcPr>
            <w:tcW w:w="1769" w:type="dxa"/>
            <w:vAlign w:val="center"/>
          </w:tcPr>
          <w:p w:rsidR="00D730BB" w:rsidRPr="000902DC" w:rsidRDefault="000902DC" w:rsidP="00D730BB">
            <w:pPr>
              <w:jc w:val="center"/>
              <w:rPr>
                <w:b/>
              </w:rPr>
            </w:pPr>
            <w:r>
              <w:rPr>
                <w:b/>
              </w:rPr>
              <w:t>72,37</w:t>
            </w:r>
          </w:p>
        </w:tc>
      </w:tr>
      <w:tr w:rsidR="00D730BB" w:rsidRPr="000902DC" w:rsidTr="00D730BB">
        <w:tc>
          <w:tcPr>
            <w:tcW w:w="1768" w:type="dxa"/>
            <w:vAlign w:val="center"/>
          </w:tcPr>
          <w:p w:rsidR="00D730BB" w:rsidRDefault="00411781" w:rsidP="00D730BB">
            <w:pPr>
              <w:jc w:val="center"/>
            </w:pPr>
            <w:r>
              <w:t>17 ΕΤΗ</w:t>
            </w:r>
          </w:p>
          <w:p w:rsidR="00411781" w:rsidRDefault="00411781" w:rsidP="00D730BB">
            <w:pPr>
              <w:jc w:val="center"/>
            </w:pPr>
            <w:r>
              <w:t>&amp;</w:t>
            </w:r>
          </w:p>
          <w:p w:rsidR="00411781" w:rsidRDefault="00411781" w:rsidP="00411781">
            <w:pPr>
              <w:jc w:val="center"/>
            </w:pPr>
            <w:r>
              <w:t>2 ΜΗΝΕΣ</w:t>
            </w:r>
          </w:p>
        </w:tc>
        <w:tc>
          <w:tcPr>
            <w:tcW w:w="1769" w:type="dxa"/>
            <w:vAlign w:val="center"/>
          </w:tcPr>
          <w:p w:rsidR="00D730BB" w:rsidRDefault="001D09F7" w:rsidP="00D730BB">
            <w:pPr>
              <w:jc w:val="center"/>
            </w:pPr>
            <w:r>
              <w:t xml:space="preserve">680,16 </w:t>
            </w:r>
          </w:p>
        </w:tc>
        <w:tc>
          <w:tcPr>
            <w:tcW w:w="1769" w:type="dxa"/>
            <w:vAlign w:val="center"/>
          </w:tcPr>
          <w:p w:rsidR="00D730BB" w:rsidRDefault="001D09F7" w:rsidP="00D730BB">
            <w:pPr>
              <w:jc w:val="center"/>
            </w:pPr>
            <w:r>
              <w:t>481,77</w:t>
            </w:r>
          </w:p>
        </w:tc>
        <w:tc>
          <w:tcPr>
            <w:tcW w:w="1769" w:type="dxa"/>
            <w:vAlign w:val="center"/>
          </w:tcPr>
          <w:p w:rsidR="00D730BB" w:rsidRDefault="003A3E31" w:rsidP="00D730BB">
            <w:pPr>
              <w:jc w:val="center"/>
            </w:pPr>
            <w:r>
              <w:t>198,39</w:t>
            </w:r>
          </w:p>
        </w:tc>
        <w:tc>
          <w:tcPr>
            <w:tcW w:w="1769" w:type="dxa"/>
            <w:vAlign w:val="center"/>
          </w:tcPr>
          <w:p w:rsidR="00D730BB" w:rsidRDefault="003A3E31" w:rsidP="00D730BB">
            <w:pPr>
              <w:jc w:val="center"/>
            </w:pPr>
            <w:r>
              <w:t>122,43</w:t>
            </w:r>
          </w:p>
        </w:tc>
        <w:tc>
          <w:tcPr>
            <w:tcW w:w="1769" w:type="dxa"/>
            <w:vAlign w:val="center"/>
          </w:tcPr>
          <w:p w:rsidR="00D730BB" w:rsidRDefault="003A3E31" w:rsidP="00D730BB">
            <w:pPr>
              <w:jc w:val="center"/>
            </w:pPr>
            <w:r>
              <w:t>557,73</w:t>
            </w:r>
          </w:p>
        </w:tc>
        <w:tc>
          <w:tcPr>
            <w:tcW w:w="1769" w:type="dxa"/>
            <w:vAlign w:val="center"/>
          </w:tcPr>
          <w:p w:rsidR="00D730BB" w:rsidRPr="000902DC" w:rsidRDefault="003A3E31" w:rsidP="00D730BB">
            <w:pPr>
              <w:jc w:val="center"/>
              <w:rPr>
                <w:b/>
              </w:rPr>
            </w:pPr>
            <w:r w:rsidRPr="000902DC">
              <w:rPr>
                <w:b/>
              </w:rPr>
              <w:t>639,35</w:t>
            </w:r>
          </w:p>
        </w:tc>
        <w:tc>
          <w:tcPr>
            <w:tcW w:w="1769" w:type="dxa"/>
            <w:vAlign w:val="center"/>
          </w:tcPr>
          <w:p w:rsidR="00D730BB" w:rsidRPr="000902DC" w:rsidRDefault="000902DC" w:rsidP="00D730BB">
            <w:pPr>
              <w:jc w:val="center"/>
              <w:rPr>
                <w:b/>
              </w:rPr>
            </w:pPr>
            <w:r>
              <w:rPr>
                <w:b/>
              </w:rPr>
              <w:t>524,27</w:t>
            </w:r>
          </w:p>
        </w:tc>
        <w:tc>
          <w:tcPr>
            <w:tcW w:w="1769" w:type="dxa"/>
            <w:vAlign w:val="center"/>
          </w:tcPr>
          <w:p w:rsidR="00D730BB" w:rsidRPr="000902DC" w:rsidRDefault="000902DC" w:rsidP="00D730BB">
            <w:pPr>
              <w:jc w:val="center"/>
              <w:rPr>
                <w:b/>
              </w:rPr>
            </w:pPr>
            <w:r>
              <w:rPr>
                <w:b/>
              </w:rPr>
              <w:t>115,08</w:t>
            </w:r>
          </w:p>
        </w:tc>
      </w:tr>
      <w:tr w:rsidR="00D730BB" w:rsidRPr="000902DC" w:rsidTr="00D730BB">
        <w:tc>
          <w:tcPr>
            <w:tcW w:w="1768" w:type="dxa"/>
            <w:vAlign w:val="center"/>
          </w:tcPr>
          <w:p w:rsidR="00D730BB" w:rsidRDefault="00411781" w:rsidP="00D730BB">
            <w:pPr>
              <w:jc w:val="center"/>
            </w:pPr>
            <w:r>
              <w:t>18 ΕΤΗ</w:t>
            </w:r>
          </w:p>
          <w:p w:rsidR="00411781" w:rsidRDefault="00411781" w:rsidP="00D730BB">
            <w:pPr>
              <w:jc w:val="center"/>
            </w:pPr>
            <w:r>
              <w:t>&amp;</w:t>
            </w:r>
          </w:p>
          <w:p w:rsidR="00411781" w:rsidRDefault="00411781" w:rsidP="00411781">
            <w:pPr>
              <w:jc w:val="center"/>
            </w:pPr>
            <w:r>
              <w:t>9 ΜΗΝΕΣ</w:t>
            </w:r>
          </w:p>
        </w:tc>
        <w:tc>
          <w:tcPr>
            <w:tcW w:w="1769" w:type="dxa"/>
            <w:vAlign w:val="center"/>
          </w:tcPr>
          <w:p w:rsidR="00D730BB" w:rsidRDefault="001D09F7" w:rsidP="00D730BB">
            <w:pPr>
              <w:jc w:val="center"/>
            </w:pPr>
            <w:r>
              <w:t xml:space="preserve">784,53 </w:t>
            </w:r>
          </w:p>
        </w:tc>
        <w:tc>
          <w:tcPr>
            <w:tcW w:w="1769" w:type="dxa"/>
            <w:vAlign w:val="center"/>
          </w:tcPr>
          <w:p w:rsidR="00D730BB" w:rsidRDefault="001D09F7" w:rsidP="00D730BB">
            <w:pPr>
              <w:jc w:val="center"/>
            </w:pPr>
            <w:r>
              <w:t>522,41</w:t>
            </w:r>
          </w:p>
        </w:tc>
        <w:tc>
          <w:tcPr>
            <w:tcW w:w="1769" w:type="dxa"/>
            <w:vAlign w:val="center"/>
          </w:tcPr>
          <w:p w:rsidR="00D730BB" w:rsidRDefault="003A3E31" w:rsidP="00D730BB">
            <w:pPr>
              <w:jc w:val="center"/>
            </w:pPr>
            <w:r>
              <w:t>262,12</w:t>
            </w:r>
          </w:p>
        </w:tc>
        <w:tc>
          <w:tcPr>
            <w:tcW w:w="1769" w:type="dxa"/>
            <w:vAlign w:val="center"/>
          </w:tcPr>
          <w:p w:rsidR="00D730BB" w:rsidRDefault="003A3E31" w:rsidP="00D730BB">
            <w:pPr>
              <w:jc w:val="center"/>
            </w:pPr>
            <w:r>
              <w:t>141,22</w:t>
            </w:r>
          </w:p>
        </w:tc>
        <w:tc>
          <w:tcPr>
            <w:tcW w:w="1769" w:type="dxa"/>
            <w:vAlign w:val="center"/>
          </w:tcPr>
          <w:p w:rsidR="00D730BB" w:rsidRDefault="003A3E31" w:rsidP="00D730BB">
            <w:pPr>
              <w:jc w:val="center"/>
            </w:pPr>
            <w:r>
              <w:t>643,31</w:t>
            </w:r>
          </w:p>
        </w:tc>
        <w:tc>
          <w:tcPr>
            <w:tcW w:w="1769" w:type="dxa"/>
            <w:vAlign w:val="center"/>
          </w:tcPr>
          <w:p w:rsidR="00D730BB" w:rsidRPr="000902DC" w:rsidRDefault="003A3E31" w:rsidP="00D730BB">
            <w:pPr>
              <w:jc w:val="center"/>
              <w:rPr>
                <w:b/>
              </w:rPr>
            </w:pPr>
            <w:r w:rsidRPr="000902DC">
              <w:rPr>
                <w:b/>
              </w:rPr>
              <w:t>737,46</w:t>
            </w:r>
          </w:p>
        </w:tc>
        <w:tc>
          <w:tcPr>
            <w:tcW w:w="1769" w:type="dxa"/>
            <w:vAlign w:val="center"/>
          </w:tcPr>
          <w:p w:rsidR="00D730BB" w:rsidRPr="000902DC" w:rsidRDefault="000902DC" w:rsidP="00D730BB">
            <w:pPr>
              <w:jc w:val="center"/>
              <w:rPr>
                <w:b/>
              </w:rPr>
            </w:pPr>
            <w:r>
              <w:rPr>
                <w:b/>
              </w:rPr>
              <w:t>604,72</w:t>
            </w:r>
          </w:p>
        </w:tc>
        <w:tc>
          <w:tcPr>
            <w:tcW w:w="1769" w:type="dxa"/>
            <w:vAlign w:val="center"/>
          </w:tcPr>
          <w:p w:rsidR="00D730BB" w:rsidRPr="000902DC" w:rsidRDefault="000902DC" w:rsidP="00D730BB">
            <w:pPr>
              <w:jc w:val="center"/>
              <w:rPr>
                <w:b/>
              </w:rPr>
            </w:pPr>
            <w:r>
              <w:rPr>
                <w:b/>
              </w:rPr>
              <w:t>132,74</w:t>
            </w:r>
          </w:p>
        </w:tc>
      </w:tr>
      <w:tr w:rsidR="00D730BB" w:rsidRPr="000902DC" w:rsidTr="00D730BB">
        <w:tc>
          <w:tcPr>
            <w:tcW w:w="1768" w:type="dxa"/>
            <w:vAlign w:val="center"/>
          </w:tcPr>
          <w:p w:rsidR="00D730BB" w:rsidRDefault="00411781" w:rsidP="00D730BB">
            <w:pPr>
              <w:jc w:val="center"/>
            </w:pPr>
            <w:r>
              <w:t>17 ΕΤΗ</w:t>
            </w:r>
          </w:p>
          <w:p w:rsidR="00411781" w:rsidRDefault="00411781" w:rsidP="00D730BB">
            <w:pPr>
              <w:jc w:val="center"/>
            </w:pPr>
            <w:r>
              <w:t>&amp;</w:t>
            </w:r>
          </w:p>
          <w:p w:rsidR="00411781" w:rsidRDefault="00411781" w:rsidP="00D730BB">
            <w:pPr>
              <w:jc w:val="center"/>
            </w:pPr>
            <w:r>
              <w:t>1 ΜΗΝΑΣ</w:t>
            </w:r>
          </w:p>
        </w:tc>
        <w:tc>
          <w:tcPr>
            <w:tcW w:w="1769" w:type="dxa"/>
            <w:vAlign w:val="center"/>
          </w:tcPr>
          <w:p w:rsidR="00D730BB" w:rsidRDefault="001D09F7" w:rsidP="00D730BB">
            <w:pPr>
              <w:jc w:val="center"/>
            </w:pPr>
            <w:r>
              <w:t xml:space="preserve">808,83 </w:t>
            </w:r>
          </w:p>
        </w:tc>
        <w:tc>
          <w:tcPr>
            <w:tcW w:w="1769" w:type="dxa"/>
            <w:vAlign w:val="center"/>
          </w:tcPr>
          <w:p w:rsidR="00D730BB" w:rsidRDefault="003A3E31" w:rsidP="00D730BB">
            <w:pPr>
              <w:jc w:val="center"/>
            </w:pPr>
            <w:r>
              <w:t>514,39</w:t>
            </w:r>
          </w:p>
        </w:tc>
        <w:tc>
          <w:tcPr>
            <w:tcW w:w="1769" w:type="dxa"/>
            <w:vAlign w:val="center"/>
          </w:tcPr>
          <w:p w:rsidR="00D730BB" w:rsidRDefault="003A3E31" w:rsidP="00D730BB">
            <w:pPr>
              <w:jc w:val="center"/>
            </w:pPr>
            <w:r>
              <w:t>299,44</w:t>
            </w:r>
          </w:p>
        </w:tc>
        <w:tc>
          <w:tcPr>
            <w:tcW w:w="1769" w:type="dxa"/>
            <w:vAlign w:val="center"/>
          </w:tcPr>
          <w:p w:rsidR="00D730BB" w:rsidRDefault="003A3E31" w:rsidP="00D730BB">
            <w:pPr>
              <w:jc w:val="center"/>
            </w:pPr>
            <w:r>
              <w:t>145,59</w:t>
            </w:r>
          </w:p>
        </w:tc>
        <w:tc>
          <w:tcPr>
            <w:tcW w:w="1769" w:type="dxa"/>
            <w:vAlign w:val="center"/>
          </w:tcPr>
          <w:p w:rsidR="00D730BB" w:rsidRDefault="003A3E31" w:rsidP="00D730BB">
            <w:pPr>
              <w:jc w:val="center"/>
            </w:pPr>
            <w:r>
              <w:t>663,24</w:t>
            </w:r>
          </w:p>
        </w:tc>
        <w:tc>
          <w:tcPr>
            <w:tcW w:w="1769" w:type="dxa"/>
            <w:vAlign w:val="center"/>
          </w:tcPr>
          <w:p w:rsidR="00D730BB" w:rsidRPr="000902DC" w:rsidRDefault="000902DC" w:rsidP="00D730BB">
            <w:pPr>
              <w:jc w:val="center"/>
              <w:rPr>
                <w:b/>
              </w:rPr>
            </w:pPr>
            <w:r w:rsidRPr="000902DC">
              <w:rPr>
                <w:b/>
              </w:rPr>
              <w:t>760,30</w:t>
            </w:r>
          </w:p>
        </w:tc>
        <w:tc>
          <w:tcPr>
            <w:tcW w:w="1769" w:type="dxa"/>
            <w:vAlign w:val="center"/>
          </w:tcPr>
          <w:p w:rsidR="00D730BB" w:rsidRPr="000902DC" w:rsidRDefault="000902DC" w:rsidP="00D730BB">
            <w:pPr>
              <w:jc w:val="center"/>
              <w:rPr>
                <w:b/>
              </w:rPr>
            </w:pPr>
            <w:r>
              <w:rPr>
                <w:b/>
              </w:rPr>
              <w:t>623,45</w:t>
            </w:r>
          </w:p>
        </w:tc>
        <w:tc>
          <w:tcPr>
            <w:tcW w:w="1769" w:type="dxa"/>
            <w:vAlign w:val="center"/>
          </w:tcPr>
          <w:p w:rsidR="00D730BB" w:rsidRPr="000902DC" w:rsidRDefault="000902DC" w:rsidP="00D730BB">
            <w:pPr>
              <w:jc w:val="center"/>
              <w:rPr>
                <w:b/>
              </w:rPr>
            </w:pPr>
            <w:r>
              <w:rPr>
                <w:b/>
              </w:rPr>
              <w:t>136,85</w:t>
            </w:r>
          </w:p>
        </w:tc>
      </w:tr>
      <w:tr w:rsidR="00D730BB" w:rsidRPr="000902DC" w:rsidTr="00D730BB">
        <w:tc>
          <w:tcPr>
            <w:tcW w:w="1768" w:type="dxa"/>
            <w:vAlign w:val="center"/>
          </w:tcPr>
          <w:p w:rsidR="00D730BB" w:rsidRDefault="00411781" w:rsidP="00D730BB">
            <w:pPr>
              <w:jc w:val="center"/>
            </w:pPr>
            <w:r>
              <w:t>30 ΕΤΗ</w:t>
            </w:r>
          </w:p>
          <w:p w:rsidR="00411781" w:rsidRDefault="00411781" w:rsidP="00D730BB">
            <w:pPr>
              <w:jc w:val="center"/>
            </w:pPr>
            <w:r>
              <w:t>&amp;</w:t>
            </w:r>
          </w:p>
          <w:p w:rsidR="00411781" w:rsidRDefault="00411781" w:rsidP="00D730BB">
            <w:pPr>
              <w:jc w:val="center"/>
            </w:pPr>
            <w:r>
              <w:t>9 ΜΗΝΕΣ</w:t>
            </w:r>
          </w:p>
        </w:tc>
        <w:tc>
          <w:tcPr>
            <w:tcW w:w="1769" w:type="dxa"/>
            <w:vAlign w:val="center"/>
          </w:tcPr>
          <w:p w:rsidR="00D730BB" w:rsidRDefault="001D09F7" w:rsidP="00D730BB">
            <w:pPr>
              <w:jc w:val="center"/>
            </w:pPr>
            <w:r>
              <w:t xml:space="preserve">851,82 </w:t>
            </w:r>
          </w:p>
        </w:tc>
        <w:tc>
          <w:tcPr>
            <w:tcW w:w="1769" w:type="dxa"/>
            <w:vAlign w:val="center"/>
          </w:tcPr>
          <w:p w:rsidR="00D730BB" w:rsidRDefault="003A3E31" w:rsidP="00D730BB">
            <w:pPr>
              <w:jc w:val="center"/>
            </w:pPr>
            <w:r>
              <w:t>601,84</w:t>
            </w:r>
          </w:p>
        </w:tc>
        <w:tc>
          <w:tcPr>
            <w:tcW w:w="1769" w:type="dxa"/>
            <w:vAlign w:val="center"/>
          </w:tcPr>
          <w:p w:rsidR="00D730BB" w:rsidRDefault="003A3E31" w:rsidP="00D730BB">
            <w:pPr>
              <w:jc w:val="center"/>
            </w:pPr>
            <w:r>
              <w:t>250,18</w:t>
            </w:r>
          </w:p>
        </w:tc>
        <w:tc>
          <w:tcPr>
            <w:tcW w:w="1769" w:type="dxa"/>
            <w:vAlign w:val="center"/>
          </w:tcPr>
          <w:p w:rsidR="00D730BB" w:rsidRDefault="003A3E31" w:rsidP="00D730BB">
            <w:pPr>
              <w:jc w:val="center"/>
            </w:pPr>
            <w:r>
              <w:t>153,33</w:t>
            </w:r>
          </w:p>
        </w:tc>
        <w:tc>
          <w:tcPr>
            <w:tcW w:w="1769" w:type="dxa"/>
            <w:vAlign w:val="center"/>
          </w:tcPr>
          <w:p w:rsidR="00D730BB" w:rsidRDefault="003A3E31" w:rsidP="00D730BB">
            <w:pPr>
              <w:jc w:val="center"/>
            </w:pPr>
            <w:r>
              <w:t>698,49</w:t>
            </w:r>
          </w:p>
        </w:tc>
        <w:tc>
          <w:tcPr>
            <w:tcW w:w="1769" w:type="dxa"/>
            <w:vAlign w:val="center"/>
          </w:tcPr>
          <w:p w:rsidR="00D730BB" w:rsidRPr="000902DC" w:rsidRDefault="000902DC" w:rsidP="00D730BB">
            <w:pPr>
              <w:jc w:val="center"/>
              <w:rPr>
                <w:b/>
              </w:rPr>
            </w:pPr>
            <w:r w:rsidRPr="000902DC">
              <w:rPr>
                <w:b/>
              </w:rPr>
              <w:t>800,71</w:t>
            </w:r>
          </w:p>
        </w:tc>
        <w:tc>
          <w:tcPr>
            <w:tcW w:w="1769" w:type="dxa"/>
            <w:vAlign w:val="center"/>
          </w:tcPr>
          <w:p w:rsidR="00D730BB" w:rsidRPr="000902DC" w:rsidRDefault="000902DC" w:rsidP="00D730BB">
            <w:pPr>
              <w:jc w:val="center"/>
              <w:rPr>
                <w:b/>
              </w:rPr>
            </w:pPr>
            <w:r>
              <w:rPr>
                <w:b/>
              </w:rPr>
              <w:t>656,58</w:t>
            </w:r>
          </w:p>
        </w:tc>
        <w:tc>
          <w:tcPr>
            <w:tcW w:w="1769" w:type="dxa"/>
            <w:vAlign w:val="center"/>
          </w:tcPr>
          <w:p w:rsidR="00D730BB" w:rsidRPr="000902DC" w:rsidRDefault="000902DC" w:rsidP="00D730BB">
            <w:pPr>
              <w:jc w:val="center"/>
              <w:rPr>
                <w:b/>
              </w:rPr>
            </w:pPr>
            <w:r>
              <w:rPr>
                <w:b/>
              </w:rPr>
              <w:t>144,13</w:t>
            </w:r>
          </w:p>
        </w:tc>
      </w:tr>
      <w:tr w:rsidR="00D730BB" w:rsidRPr="000902DC" w:rsidTr="005C1C7E">
        <w:tc>
          <w:tcPr>
            <w:tcW w:w="1768" w:type="dxa"/>
            <w:vAlign w:val="center"/>
          </w:tcPr>
          <w:p w:rsidR="00D730BB" w:rsidRDefault="00411781" w:rsidP="00D730BB">
            <w:pPr>
              <w:jc w:val="center"/>
            </w:pPr>
            <w:r>
              <w:t>25 ΕΤΗ</w:t>
            </w:r>
          </w:p>
          <w:p w:rsidR="00411781" w:rsidRDefault="00411781" w:rsidP="00D730BB">
            <w:pPr>
              <w:jc w:val="center"/>
            </w:pPr>
            <w:r>
              <w:t>&amp;</w:t>
            </w:r>
          </w:p>
          <w:p w:rsidR="00411781" w:rsidRDefault="00411781" w:rsidP="00D730BB">
            <w:pPr>
              <w:jc w:val="center"/>
            </w:pPr>
            <w:r>
              <w:t>4 ΜΗΝΕΣ</w:t>
            </w:r>
          </w:p>
        </w:tc>
        <w:tc>
          <w:tcPr>
            <w:tcW w:w="1769" w:type="dxa"/>
          </w:tcPr>
          <w:p w:rsidR="00D730BB" w:rsidRDefault="001D09F7" w:rsidP="005C1C7E">
            <w:pPr>
              <w:jc w:val="center"/>
            </w:pPr>
            <w:r>
              <w:t>1078,58</w:t>
            </w:r>
          </w:p>
          <w:p w:rsidR="005C1C7E" w:rsidRDefault="005C1C7E" w:rsidP="005C1C7E">
            <w:pPr>
              <w:jc w:val="center"/>
            </w:pPr>
            <w:r>
              <w:t>(1024,65 μετά τις μνημονιακές</w:t>
            </w:r>
          </w:p>
          <w:p w:rsidR="005C1C7E" w:rsidRDefault="005C1C7E" w:rsidP="005C1C7E">
            <w:pPr>
              <w:jc w:val="center"/>
            </w:pPr>
            <w:r>
              <w:t>κρατήσεις)</w:t>
            </w:r>
          </w:p>
        </w:tc>
        <w:tc>
          <w:tcPr>
            <w:tcW w:w="1769" w:type="dxa"/>
            <w:vAlign w:val="center"/>
          </w:tcPr>
          <w:p w:rsidR="00D730BB" w:rsidRDefault="003A3E31" w:rsidP="00D730BB">
            <w:pPr>
              <w:jc w:val="center"/>
            </w:pPr>
            <w:r>
              <w:t>621,51</w:t>
            </w:r>
          </w:p>
        </w:tc>
        <w:tc>
          <w:tcPr>
            <w:tcW w:w="1769" w:type="dxa"/>
            <w:vAlign w:val="center"/>
          </w:tcPr>
          <w:p w:rsidR="00D730BB" w:rsidRDefault="003A3E31" w:rsidP="00D730BB">
            <w:pPr>
              <w:jc w:val="center"/>
            </w:pPr>
            <w:r>
              <w:t>403,14</w:t>
            </w:r>
          </w:p>
        </w:tc>
        <w:tc>
          <w:tcPr>
            <w:tcW w:w="1769" w:type="dxa"/>
            <w:vAlign w:val="center"/>
          </w:tcPr>
          <w:p w:rsidR="00D730BB" w:rsidRDefault="003A3E31" w:rsidP="00D730BB">
            <w:pPr>
              <w:jc w:val="center"/>
            </w:pPr>
            <w:r>
              <w:t>184,44</w:t>
            </w:r>
          </w:p>
        </w:tc>
        <w:tc>
          <w:tcPr>
            <w:tcW w:w="1769" w:type="dxa"/>
            <w:vAlign w:val="center"/>
          </w:tcPr>
          <w:p w:rsidR="00D730BB" w:rsidRDefault="003A3E31" w:rsidP="00D730BB">
            <w:pPr>
              <w:jc w:val="center"/>
            </w:pPr>
            <w:r>
              <w:t>840,21</w:t>
            </w:r>
          </w:p>
        </w:tc>
        <w:tc>
          <w:tcPr>
            <w:tcW w:w="1769" w:type="dxa"/>
            <w:vAlign w:val="center"/>
          </w:tcPr>
          <w:p w:rsidR="00D730BB" w:rsidRPr="000902DC" w:rsidRDefault="000902DC" w:rsidP="00D730BB">
            <w:pPr>
              <w:jc w:val="center"/>
              <w:rPr>
                <w:b/>
              </w:rPr>
            </w:pPr>
            <w:r w:rsidRPr="000902DC">
              <w:rPr>
                <w:b/>
              </w:rPr>
              <w:t>963,17</w:t>
            </w:r>
          </w:p>
        </w:tc>
        <w:tc>
          <w:tcPr>
            <w:tcW w:w="1769" w:type="dxa"/>
            <w:vAlign w:val="center"/>
          </w:tcPr>
          <w:p w:rsidR="00D730BB" w:rsidRPr="000902DC" w:rsidRDefault="000902DC" w:rsidP="00D730BB">
            <w:pPr>
              <w:jc w:val="center"/>
              <w:rPr>
                <w:b/>
              </w:rPr>
            </w:pPr>
            <w:r>
              <w:rPr>
                <w:b/>
              </w:rPr>
              <w:t>789,80</w:t>
            </w:r>
          </w:p>
        </w:tc>
        <w:tc>
          <w:tcPr>
            <w:tcW w:w="1769" w:type="dxa"/>
            <w:vAlign w:val="center"/>
          </w:tcPr>
          <w:p w:rsidR="00D730BB" w:rsidRPr="000902DC" w:rsidRDefault="000902DC" w:rsidP="00D730BB">
            <w:pPr>
              <w:jc w:val="center"/>
              <w:rPr>
                <w:b/>
              </w:rPr>
            </w:pPr>
            <w:r>
              <w:rPr>
                <w:b/>
              </w:rPr>
              <w:t>173,37</w:t>
            </w:r>
          </w:p>
        </w:tc>
      </w:tr>
    </w:tbl>
    <w:p w:rsidR="00E71E9F" w:rsidRDefault="00E71E9F"/>
    <w:p w:rsidR="00411781" w:rsidRDefault="00411781" w:rsidP="00411781">
      <w:pPr>
        <w:pStyle w:val="a4"/>
        <w:numPr>
          <w:ilvl w:val="0"/>
          <w:numId w:val="1"/>
        </w:numPr>
      </w:pPr>
      <w:r>
        <w:t>Επιλέξαμε τη δεύτερη πολυπληθέστερη μετά το ΙΚΑ κατηγορία συνταξιούχων του ιδιωτικού τομέα και περιοριστήκαμε σε χαμηλά ή μεσαία  συνταξιοδοτικά ποσά. Από τα χίλια ευρώ και πάνω οι απόλυτες διαφορές είναι πολύ μεγαλύτερες. Το αμέσως επόμενο χρονικό διάστημα θα δημοσιοποιήσουμε παραδείγματα και από άλλες κατηγορίες συνταξιούχων (Δημόσιο, ΔΕΚΟ κλπ)</w:t>
      </w:r>
      <w:r w:rsidR="006F4AF0">
        <w:t>.</w:t>
      </w:r>
    </w:p>
    <w:p w:rsidR="006F4AF0" w:rsidRDefault="006F4AF0" w:rsidP="006F4AF0">
      <w:pPr>
        <w:pStyle w:val="a4"/>
      </w:pPr>
    </w:p>
    <w:p w:rsidR="003A3E31" w:rsidRDefault="00411781" w:rsidP="00291EBC">
      <w:pPr>
        <w:pStyle w:val="a4"/>
        <w:numPr>
          <w:ilvl w:val="0"/>
          <w:numId w:val="1"/>
        </w:numPr>
      </w:pPr>
      <w:r>
        <w:t xml:space="preserve"> </w:t>
      </w:r>
      <w:r w:rsidR="006F4AF0">
        <w:t>Οι διαφορές που παρατηρούνται μεταξύ του χρόνου ασφάλισης και του ποσού της σύνταξης αφορά στις διαφορετικές ασφαλιστικές κατηγορίες για τις οποίες κατέβαλε εισφορές ο κάθε ασφαλισμένος.</w:t>
      </w:r>
    </w:p>
    <w:sectPr w:rsidR="003A3E31" w:rsidSect="00D730BB">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6652F"/>
    <w:multiLevelType w:val="hybridMultilevel"/>
    <w:tmpl w:val="89CAA52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52"/>
    <w:rsid w:val="000902DC"/>
    <w:rsid w:val="00114DF8"/>
    <w:rsid w:val="001D09F7"/>
    <w:rsid w:val="00291EBC"/>
    <w:rsid w:val="003A3E31"/>
    <w:rsid w:val="00411781"/>
    <w:rsid w:val="005C1C7E"/>
    <w:rsid w:val="00671E8B"/>
    <w:rsid w:val="006F4AF0"/>
    <w:rsid w:val="009377E3"/>
    <w:rsid w:val="00A20DF9"/>
    <w:rsid w:val="00D730BB"/>
    <w:rsid w:val="00DC5352"/>
    <w:rsid w:val="00E71E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56414-AC08-4F0D-ACF8-80B7411B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3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1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03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1190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Admin</cp:lastModifiedBy>
  <cp:revision>3</cp:revision>
  <cp:lastPrinted>2018-06-27T09:45:00Z</cp:lastPrinted>
  <dcterms:created xsi:type="dcterms:W3CDTF">2018-10-05T08:52:00Z</dcterms:created>
  <dcterms:modified xsi:type="dcterms:W3CDTF">2018-10-05T08:52:00Z</dcterms:modified>
</cp:coreProperties>
</file>